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FF5" w:rsidRDefault="005F7FF5" w:rsidP="005F7FF5">
      <w:pPr>
        <w:rPr>
          <w:rFonts w:ascii="Calibri" w:hAnsi="Calibri"/>
          <w:b/>
          <w:sz w:val="20"/>
        </w:rPr>
      </w:pPr>
      <w:r>
        <w:rPr>
          <w:rFonts w:ascii="Calibri" w:hAnsi="Calibri"/>
          <w:b/>
          <w:sz w:val="20"/>
        </w:rPr>
        <w:t>Extract from essay.</w:t>
      </w:r>
      <w:bookmarkStart w:id="0" w:name="_GoBack"/>
      <w:bookmarkEnd w:id="0"/>
    </w:p>
    <w:p w:rsidR="005F7FF5" w:rsidRDefault="005F7FF5" w:rsidP="005F7FF5">
      <w:pPr>
        <w:jc w:val="center"/>
        <w:rPr>
          <w:rFonts w:ascii="Calibri" w:hAnsi="Calibri"/>
          <w:b/>
          <w:sz w:val="20"/>
        </w:rPr>
      </w:pPr>
    </w:p>
    <w:p w:rsidR="005F7FF5" w:rsidRDefault="005F7FF5" w:rsidP="005F7FF5">
      <w:pPr>
        <w:jc w:val="center"/>
        <w:rPr>
          <w:rFonts w:ascii="Calibri" w:hAnsi="Calibri"/>
          <w:b/>
          <w:sz w:val="20"/>
        </w:rPr>
      </w:pPr>
    </w:p>
    <w:p w:rsidR="005F7FF5" w:rsidRPr="003D264B" w:rsidRDefault="005F7FF5" w:rsidP="005F7FF5">
      <w:pPr>
        <w:jc w:val="center"/>
        <w:rPr>
          <w:rFonts w:ascii="Calibri" w:hAnsi="Calibri"/>
          <w:b/>
          <w:sz w:val="20"/>
        </w:rPr>
      </w:pPr>
      <w:proofErr w:type="gramStart"/>
      <w:r w:rsidRPr="003D264B">
        <w:rPr>
          <w:rFonts w:ascii="Calibri" w:hAnsi="Calibri"/>
          <w:b/>
          <w:sz w:val="20"/>
        </w:rPr>
        <w:t>A DISTURBANCE IN THE SANCTUARY.</w:t>
      </w:r>
      <w:proofErr w:type="gramEnd"/>
    </w:p>
    <w:p w:rsidR="005F7FF5" w:rsidRPr="003D264B" w:rsidRDefault="005F7FF5" w:rsidP="005F7FF5">
      <w:pPr>
        <w:jc w:val="center"/>
        <w:rPr>
          <w:rFonts w:ascii="Calibri" w:hAnsi="Calibri"/>
          <w:b/>
          <w:sz w:val="20"/>
        </w:rPr>
      </w:pPr>
    </w:p>
    <w:p w:rsidR="005F7FF5" w:rsidRPr="003D264B" w:rsidRDefault="005F7FF5" w:rsidP="005F7FF5">
      <w:pPr>
        <w:jc w:val="center"/>
        <w:rPr>
          <w:rFonts w:ascii="Calibri" w:hAnsi="Calibri"/>
          <w:i/>
          <w:sz w:val="20"/>
        </w:rPr>
      </w:pPr>
    </w:p>
    <w:p w:rsidR="005F7FF5" w:rsidRPr="003D264B" w:rsidRDefault="005F7FF5" w:rsidP="005F7FF5">
      <w:pPr>
        <w:jc w:val="both"/>
        <w:rPr>
          <w:rFonts w:ascii="Calibri" w:hAnsi="Calibri"/>
          <w:sz w:val="20"/>
        </w:rPr>
      </w:pPr>
      <w:r w:rsidRPr="003D264B">
        <w:rPr>
          <w:rFonts w:ascii="Calibri" w:hAnsi="Calibri"/>
          <w:i/>
          <w:sz w:val="20"/>
        </w:rPr>
        <w:t>I am for an art that is political-</w:t>
      </w:r>
      <w:proofErr w:type="spellStart"/>
      <w:r w:rsidRPr="003D264B">
        <w:rPr>
          <w:rFonts w:ascii="Calibri" w:hAnsi="Calibri"/>
          <w:i/>
          <w:sz w:val="20"/>
        </w:rPr>
        <w:t>erotical</w:t>
      </w:r>
      <w:proofErr w:type="spellEnd"/>
      <w:r w:rsidRPr="003D264B">
        <w:rPr>
          <w:rFonts w:ascii="Calibri" w:hAnsi="Calibri"/>
          <w:i/>
          <w:sz w:val="20"/>
        </w:rPr>
        <w:t>-mystical, that does something other than sit on its ass in a museum.</w:t>
      </w:r>
      <w:r w:rsidRPr="003D264B">
        <w:rPr>
          <w:rFonts w:ascii="Calibri" w:hAnsi="Calibri"/>
          <w:sz w:val="20"/>
        </w:rPr>
        <w:t xml:space="preserve">  </w:t>
      </w:r>
      <w:proofErr w:type="gramStart"/>
      <w:r w:rsidRPr="003D264B">
        <w:rPr>
          <w:rFonts w:ascii="Calibri" w:hAnsi="Calibri"/>
          <w:sz w:val="20"/>
        </w:rPr>
        <w:t>(</w:t>
      </w:r>
      <w:proofErr w:type="spellStart"/>
      <w:r w:rsidRPr="003D264B">
        <w:rPr>
          <w:rFonts w:ascii="Calibri" w:hAnsi="Calibri"/>
          <w:sz w:val="20"/>
        </w:rPr>
        <w:t>Claes</w:t>
      </w:r>
      <w:proofErr w:type="spellEnd"/>
      <w:r w:rsidRPr="003D264B">
        <w:rPr>
          <w:rFonts w:ascii="Calibri" w:hAnsi="Calibri"/>
          <w:sz w:val="20"/>
        </w:rPr>
        <w:t xml:space="preserve"> </w:t>
      </w:r>
      <w:proofErr w:type="spellStart"/>
      <w:r w:rsidRPr="003D264B">
        <w:rPr>
          <w:rFonts w:ascii="Calibri" w:hAnsi="Calibri"/>
          <w:sz w:val="20"/>
        </w:rPr>
        <w:t>Oldenberg</w:t>
      </w:r>
      <w:proofErr w:type="spellEnd"/>
      <w:r w:rsidRPr="003D264B">
        <w:rPr>
          <w:rFonts w:ascii="Calibri" w:hAnsi="Calibri"/>
          <w:sz w:val="20"/>
        </w:rPr>
        <w:t>, 1961).</w:t>
      </w:r>
      <w:proofErr w:type="gramEnd"/>
    </w:p>
    <w:p w:rsidR="005F7FF5" w:rsidRPr="003D264B" w:rsidRDefault="005F7FF5" w:rsidP="005F7FF5">
      <w:pPr>
        <w:jc w:val="both"/>
        <w:rPr>
          <w:rFonts w:ascii="Calibri" w:hAnsi="Calibri"/>
          <w:sz w:val="20"/>
        </w:rPr>
      </w:pPr>
    </w:p>
    <w:p w:rsidR="005F7FF5" w:rsidRPr="003D264B" w:rsidRDefault="005F7FF5" w:rsidP="005F7FF5">
      <w:pPr>
        <w:pStyle w:val="BodyText"/>
        <w:rPr>
          <w:rFonts w:ascii="Calibri" w:hAnsi="Calibri"/>
          <w:sz w:val="20"/>
        </w:rPr>
      </w:pPr>
      <w:r w:rsidRPr="003D264B">
        <w:rPr>
          <w:rFonts w:ascii="Calibri" w:hAnsi="Calibri"/>
          <w:sz w:val="20"/>
        </w:rPr>
        <w:t xml:space="preserve">It’s sobering to learn that current understandings of terms and concepts differ from those of the past, albeit snagged on their decaying roots.  Such terms and concepts are not timeless: they have changed and will change.  They are formed, not given. The promise of their future reformulation offers hope – as well as a burden of responsibility.  </w:t>
      </w:r>
    </w:p>
    <w:p w:rsidR="005F7FF5" w:rsidRPr="003D264B" w:rsidRDefault="005F7FF5" w:rsidP="005F7FF5">
      <w:pPr>
        <w:pStyle w:val="BodyText"/>
        <w:rPr>
          <w:rFonts w:ascii="Calibri" w:hAnsi="Calibri"/>
          <w:sz w:val="20"/>
        </w:rPr>
      </w:pPr>
    </w:p>
    <w:p w:rsidR="005F7FF5" w:rsidRPr="003D264B" w:rsidRDefault="005F7FF5" w:rsidP="005F7FF5">
      <w:pPr>
        <w:pStyle w:val="BodyText"/>
        <w:rPr>
          <w:rFonts w:ascii="Calibri" w:hAnsi="Calibri"/>
          <w:sz w:val="20"/>
        </w:rPr>
      </w:pPr>
      <w:r w:rsidRPr="003D264B">
        <w:rPr>
          <w:rFonts w:ascii="Calibri" w:hAnsi="Calibri"/>
          <w:sz w:val="20"/>
        </w:rPr>
        <w:t xml:space="preserve">Both the idea of art and the idea of sanctuary, for example, are complex and historically evolving, as are their mutual association and inter-connection.  In the case of art, Peter </w:t>
      </w:r>
      <w:proofErr w:type="spellStart"/>
      <w:r w:rsidRPr="003D264B">
        <w:rPr>
          <w:rFonts w:ascii="Calibri" w:hAnsi="Calibri"/>
          <w:sz w:val="20"/>
        </w:rPr>
        <w:t>Bürger</w:t>
      </w:r>
      <w:proofErr w:type="spellEnd"/>
      <w:r w:rsidRPr="003D264B">
        <w:rPr>
          <w:rFonts w:ascii="Calibri" w:hAnsi="Calibri"/>
          <w:sz w:val="20"/>
        </w:rPr>
        <w:t xml:space="preserve"> has suggested that its origins lie within the sacral, tightly woven into collective practices of worship and religious ritual.</w:t>
      </w:r>
      <w:r w:rsidRPr="003D264B">
        <w:rPr>
          <w:rStyle w:val="EndnoteReference"/>
          <w:rFonts w:ascii="Calibri" w:hAnsi="Calibri"/>
          <w:sz w:val="20"/>
        </w:rPr>
        <w:endnoteReference w:id="1"/>
      </w:r>
      <w:r w:rsidRPr="003D264B">
        <w:rPr>
          <w:rFonts w:ascii="Calibri" w:hAnsi="Calibri"/>
          <w:sz w:val="20"/>
        </w:rPr>
        <w:t xml:space="preserve">  Subsequently, however, its sacral connections were displaced by secular concerns – with the glorification of courtly power, in particular.  But as the aristocracy subsided in its turn beneath the rising swell of the bourgeoisie, so art began to articulate the values of this newly empowered social group.  Several seismic shifts are evident within this history.  The production of art switches from a communal activity (having more in common with our current understanding of craft production) to an individual activity.  In a parallel set of ruptures and displacements, the reception of art – its address to its intended audience - shifts from a shared, collective mode to an individual, private mode.  Equally significant, art’s relation to the sacred is transfigured.  </w:t>
      </w:r>
    </w:p>
    <w:p w:rsidR="005F7FF5" w:rsidRPr="003D264B" w:rsidRDefault="005F7FF5" w:rsidP="005F7FF5">
      <w:pPr>
        <w:jc w:val="both"/>
        <w:rPr>
          <w:rFonts w:ascii="Calibri" w:hAnsi="Calibri"/>
          <w:sz w:val="20"/>
        </w:rPr>
      </w:pPr>
    </w:p>
    <w:p w:rsidR="005F7FF5" w:rsidRPr="003D264B" w:rsidRDefault="005F7FF5" w:rsidP="005F7FF5">
      <w:pPr>
        <w:jc w:val="both"/>
        <w:rPr>
          <w:rFonts w:ascii="Calibri" w:hAnsi="Calibri"/>
          <w:sz w:val="20"/>
        </w:rPr>
      </w:pPr>
      <w:r w:rsidRPr="003D264B">
        <w:rPr>
          <w:rFonts w:ascii="Calibri" w:hAnsi="Calibri"/>
          <w:sz w:val="20"/>
        </w:rPr>
        <w:t>Similar processes of historical change and development affect the idea of sanctuary.  Traces of these transformations are detectable in the ambivalence that inhabits its current usage.  Thus the word sanctuary signifies both “a holy place: a place of worship” and “a place of refuge: a private retreat.”  Evident here is an uneasy co-existence – an incompatibility, even – between the sacral and the secular, the communal (the congregational aspect of worship in a designated space) and the private.  Among sanctuary’s other available meanings we also find, “a place affording immunity from arrest”.  At this point all distance between the religious and the legal/political disappears: sanctuary is simply another word for asylum, “a place of refuge for… those accused of crime.”  That the socially outcast and the sacred should share common space may come as less surprise if we consider that the ancient understanding of the sacred – less sanitized than our own - entailed the notion of defilement: Both are examples of that which is wholly other, beyond assimilation.  Totem (image of the divine or supernatural being) and taboo, as Freud suggested, are two faces of the same coin: “God is only sacred on the same basis as shit.”</w:t>
      </w:r>
      <w:r w:rsidRPr="003D264B">
        <w:rPr>
          <w:rStyle w:val="EndnoteReference"/>
          <w:rFonts w:ascii="Calibri" w:hAnsi="Calibri"/>
          <w:sz w:val="20"/>
        </w:rPr>
        <w:endnoteReference w:id="2"/>
      </w:r>
      <w:r w:rsidRPr="003D264B">
        <w:rPr>
          <w:rFonts w:ascii="Calibri" w:hAnsi="Calibri"/>
          <w:sz w:val="20"/>
        </w:rPr>
        <w:t xml:space="preserve">   Today’s sanctuary would prefer to disavow this history, suspend the political and reject the subversive.  Occasionally this proves difficult:</w:t>
      </w:r>
    </w:p>
    <w:p w:rsidR="005F7FF5" w:rsidRPr="003D264B" w:rsidRDefault="005F7FF5" w:rsidP="005F7FF5">
      <w:pPr>
        <w:ind w:left="567"/>
        <w:jc w:val="both"/>
        <w:rPr>
          <w:rFonts w:ascii="Calibri" w:hAnsi="Calibri"/>
          <w:sz w:val="20"/>
        </w:rPr>
      </w:pPr>
      <w:r w:rsidRPr="003D264B">
        <w:rPr>
          <w:rFonts w:ascii="Calibri" w:hAnsi="Calibri"/>
          <w:i/>
          <w:sz w:val="20"/>
        </w:rPr>
        <w:t xml:space="preserve">The standoff between Israeli forces and Palestinian gunmen holed up inside part of Bethlehem's Church of the Nativity continues […]. Intense negotiations are reportedly underway between the Israeli government and Vatican representatives, who hope to get the 60 priests and nuns inside the monastery compound released without bloodshed. </w:t>
      </w:r>
      <w:r w:rsidRPr="003D264B">
        <w:rPr>
          <w:rFonts w:ascii="Calibri" w:hAnsi="Calibri"/>
          <w:i/>
          <w:color w:val="000000"/>
          <w:sz w:val="20"/>
        </w:rPr>
        <w:t xml:space="preserve"> </w:t>
      </w:r>
      <w:r w:rsidRPr="003D264B">
        <w:rPr>
          <w:rFonts w:ascii="Calibri" w:hAnsi="Calibri"/>
          <w:i/>
          <w:sz w:val="20"/>
        </w:rPr>
        <w:t>The Vatican would prefer not to use the word "released," because that would imply that the Christian clergy are being held against their will….  “[</w:t>
      </w:r>
      <w:proofErr w:type="gramStart"/>
      <w:r w:rsidRPr="003D264B">
        <w:rPr>
          <w:rFonts w:ascii="Calibri" w:hAnsi="Calibri"/>
          <w:i/>
          <w:sz w:val="20"/>
        </w:rPr>
        <w:t>T]his</w:t>
      </w:r>
      <w:proofErr w:type="gramEnd"/>
      <w:r w:rsidRPr="003D264B">
        <w:rPr>
          <w:rFonts w:ascii="Calibri" w:hAnsi="Calibri"/>
          <w:i/>
          <w:sz w:val="20"/>
        </w:rPr>
        <w:t xml:space="preserve"> is not a hostage situation; we offered [the Palestinians] sanctuary. </w:t>
      </w:r>
      <w:r w:rsidRPr="003D264B">
        <w:rPr>
          <w:rStyle w:val="EndnoteReference"/>
          <w:rFonts w:ascii="Calibri" w:hAnsi="Calibri"/>
          <w:i/>
          <w:sz w:val="20"/>
        </w:rPr>
        <w:endnoteReference w:id="3"/>
      </w:r>
    </w:p>
    <w:p w:rsidR="002643F2" w:rsidRDefault="002643F2"/>
    <w:sectPr w:rsidR="002643F2" w:rsidSect="00C43CC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7FF5" w:rsidRDefault="005F7FF5" w:rsidP="005F7FF5">
      <w:r>
        <w:separator/>
      </w:r>
    </w:p>
  </w:endnote>
  <w:endnote w:type="continuationSeparator" w:id="0">
    <w:p w:rsidR="005F7FF5" w:rsidRDefault="005F7FF5" w:rsidP="005F7FF5">
      <w:r>
        <w:continuationSeparator/>
      </w:r>
    </w:p>
  </w:endnote>
  <w:endnote w:id="1">
    <w:p w:rsidR="005F7FF5" w:rsidRDefault="005F7FF5" w:rsidP="005F7FF5">
      <w:pPr>
        <w:pStyle w:val="EndnoteText"/>
      </w:pPr>
      <w:r>
        <w:rPr>
          <w:rStyle w:val="EndnoteReference"/>
        </w:rPr>
        <w:endnoteRef/>
      </w:r>
      <w:r>
        <w:t xml:space="preserve"> Peter </w:t>
      </w:r>
      <w:proofErr w:type="spellStart"/>
      <w:r>
        <w:t>Bürger</w:t>
      </w:r>
      <w:proofErr w:type="spellEnd"/>
      <w:r>
        <w:t xml:space="preserve">, </w:t>
      </w:r>
      <w:r>
        <w:rPr>
          <w:i/>
        </w:rPr>
        <w:t>Theory of the Avant-Garde</w:t>
      </w:r>
      <w:r>
        <w:t>, Manchester University Press, 1984.</w:t>
      </w:r>
    </w:p>
  </w:endnote>
  <w:endnote w:id="2">
    <w:p w:rsidR="005F7FF5" w:rsidRDefault="005F7FF5" w:rsidP="005F7FF5">
      <w:pPr>
        <w:pStyle w:val="EndnoteText"/>
      </w:pPr>
      <w:r>
        <w:rPr>
          <w:rStyle w:val="EndnoteReference"/>
        </w:rPr>
        <w:endnoteRef/>
      </w:r>
      <w:r>
        <w:t xml:space="preserve"> </w:t>
      </w:r>
      <w:proofErr w:type="spellStart"/>
      <w:proofErr w:type="gramStart"/>
      <w:r>
        <w:t>Yve</w:t>
      </w:r>
      <w:proofErr w:type="spellEnd"/>
      <w:r>
        <w:t xml:space="preserve">-Alain Bois &amp; Rosalind Krauss, </w:t>
      </w:r>
      <w:r>
        <w:rPr>
          <w:i/>
        </w:rPr>
        <w:t>Formless.</w:t>
      </w:r>
      <w:proofErr w:type="gramEnd"/>
      <w:r>
        <w:rPr>
          <w:i/>
        </w:rPr>
        <w:t xml:space="preserve">  A User’s Guide</w:t>
      </w:r>
      <w:r>
        <w:t>, Zone Books, 1997, p.53.</w:t>
      </w:r>
    </w:p>
  </w:endnote>
  <w:endnote w:id="3">
    <w:p w:rsidR="005F7FF5" w:rsidRDefault="005F7FF5" w:rsidP="005F7FF5">
      <w:pPr>
        <w:pStyle w:val="EndnoteText"/>
      </w:pPr>
      <w:r>
        <w:rPr>
          <w:rStyle w:val="EndnoteReference"/>
        </w:rPr>
        <w:endnoteRef/>
      </w:r>
      <w:r>
        <w:t xml:space="preserve"> National Review Online, April 9, 2002.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7FF5" w:rsidRDefault="005F7FF5" w:rsidP="005F7FF5">
      <w:r>
        <w:separator/>
      </w:r>
    </w:p>
  </w:footnote>
  <w:footnote w:type="continuationSeparator" w:id="0">
    <w:p w:rsidR="005F7FF5" w:rsidRDefault="005F7FF5" w:rsidP="005F7F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FF5"/>
    <w:rsid w:val="002643F2"/>
    <w:rsid w:val="005F7FF5"/>
    <w:rsid w:val="00C43C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EFA6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FF5"/>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5F7FF5"/>
    <w:pPr>
      <w:jc w:val="both"/>
    </w:pPr>
  </w:style>
  <w:style w:type="character" w:customStyle="1" w:styleId="BodyTextChar">
    <w:name w:val="Body Text Char"/>
    <w:basedOn w:val="DefaultParagraphFont"/>
    <w:link w:val="BodyText"/>
    <w:semiHidden/>
    <w:rsid w:val="005F7FF5"/>
    <w:rPr>
      <w:rFonts w:ascii="Times" w:eastAsia="Times" w:hAnsi="Times" w:cs="Times New Roman"/>
      <w:szCs w:val="20"/>
    </w:rPr>
  </w:style>
  <w:style w:type="paragraph" w:styleId="EndnoteText">
    <w:name w:val="endnote text"/>
    <w:basedOn w:val="Normal"/>
    <w:link w:val="EndnoteTextChar"/>
    <w:semiHidden/>
    <w:rsid w:val="005F7FF5"/>
    <w:rPr>
      <w:sz w:val="20"/>
    </w:rPr>
  </w:style>
  <w:style w:type="character" w:customStyle="1" w:styleId="EndnoteTextChar">
    <w:name w:val="Endnote Text Char"/>
    <w:basedOn w:val="DefaultParagraphFont"/>
    <w:link w:val="EndnoteText"/>
    <w:semiHidden/>
    <w:rsid w:val="005F7FF5"/>
    <w:rPr>
      <w:rFonts w:ascii="Times" w:eastAsia="Times" w:hAnsi="Times" w:cs="Times New Roman"/>
      <w:sz w:val="20"/>
      <w:szCs w:val="20"/>
    </w:rPr>
  </w:style>
  <w:style w:type="character" w:styleId="EndnoteReference">
    <w:name w:val="endnote reference"/>
    <w:semiHidden/>
    <w:rsid w:val="005F7FF5"/>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FF5"/>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5F7FF5"/>
    <w:pPr>
      <w:jc w:val="both"/>
    </w:pPr>
  </w:style>
  <w:style w:type="character" w:customStyle="1" w:styleId="BodyTextChar">
    <w:name w:val="Body Text Char"/>
    <w:basedOn w:val="DefaultParagraphFont"/>
    <w:link w:val="BodyText"/>
    <w:semiHidden/>
    <w:rsid w:val="005F7FF5"/>
    <w:rPr>
      <w:rFonts w:ascii="Times" w:eastAsia="Times" w:hAnsi="Times" w:cs="Times New Roman"/>
      <w:szCs w:val="20"/>
    </w:rPr>
  </w:style>
  <w:style w:type="paragraph" w:styleId="EndnoteText">
    <w:name w:val="endnote text"/>
    <w:basedOn w:val="Normal"/>
    <w:link w:val="EndnoteTextChar"/>
    <w:semiHidden/>
    <w:rsid w:val="005F7FF5"/>
    <w:rPr>
      <w:sz w:val="20"/>
    </w:rPr>
  </w:style>
  <w:style w:type="character" w:customStyle="1" w:styleId="EndnoteTextChar">
    <w:name w:val="Endnote Text Char"/>
    <w:basedOn w:val="DefaultParagraphFont"/>
    <w:link w:val="EndnoteText"/>
    <w:semiHidden/>
    <w:rsid w:val="005F7FF5"/>
    <w:rPr>
      <w:rFonts w:ascii="Times" w:eastAsia="Times" w:hAnsi="Times" w:cs="Times New Roman"/>
      <w:sz w:val="20"/>
      <w:szCs w:val="20"/>
    </w:rPr>
  </w:style>
  <w:style w:type="character" w:styleId="EndnoteReference">
    <w:name w:val="endnote reference"/>
    <w:semiHidden/>
    <w:rsid w:val="005F7F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571</Words>
  <Characters>3004</Characters>
  <Application>Microsoft Macintosh Word</Application>
  <DocSecurity>0</DocSecurity>
  <Lines>47</Lines>
  <Paragraphs>7</Paragraphs>
  <ScaleCrop>false</ScaleCrop>
  <Company>GSA</Company>
  <LinksUpToDate>false</LinksUpToDate>
  <CharactersWithSpaces>3568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Calcutt</dc:creator>
  <cp:keywords/>
  <dc:description/>
  <cp:lastModifiedBy>John Calcutt</cp:lastModifiedBy>
  <cp:revision>1</cp:revision>
  <dcterms:created xsi:type="dcterms:W3CDTF">2013-02-17T17:47:00Z</dcterms:created>
  <dcterms:modified xsi:type="dcterms:W3CDTF">2013-02-17T17:48:00Z</dcterms:modified>
</cp:coreProperties>
</file>